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E95B2" w14:textId="77777777" w:rsidR="00ED65D3" w:rsidRPr="00E2734A" w:rsidRDefault="00ED65D3" w:rsidP="00ED65D3">
      <w:pPr>
        <w:pStyle w:val="Heading1"/>
        <w:rPr>
          <w:rFonts w:ascii="Calibri" w:hAnsi="Calibri" w:cs="Calibri"/>
        </w:rPr>
      </w:pPr>
      <w:r w:rsidRPr="00E2734A">
        <w:rPr>
          <w:rFonts w:ascii="Calibri" w:hAnsi="Calibri" w:cs="Calibri"/>
        </w:rPr>
        <w:t>VERDEXON EV Charging – Charging Session Refund Policy</w:t>
      </w:r>
    </w:p>
    <w:p w14:paraId="214C838A" w14:textId="77777777" w:rsidR="00E2734A" w:rsidRPr="00E2734A" w:rsidRDefault="00E2734A" w:rsidP="00E2734A"/>
    <w:p w14:paraId="4C51C0E7"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Effective Date: 01/08/2025</w:t>
      </w:r>
    </w:p>
    <w:p w14:paraId="49ADC7C2" w14:textId="77777777" w:rsidR="00E2734A" w:rsidRDefault="00E2734A" w:rsidP="00ED65D3"/>
    <w:p w14:paraId="776245D7" w14:textId="267BBDEB" w:rsidR="00ED65D3" w:rsidRPr="00E2734A" w:rsidRDefault="00ED65D3" w:rsidP="00E2734A">
      <w:pPr>
        <w:pStyle w:val="Heading2"/>
        <w:numPr>
          <w:ilvl w:val="0"/>
          <w:numId w:val="33"/>
        </w:numPr>
        <w:rPr>
          <w:rFonts w:asciiTheme="minorHAnsi" w:hAnsiTheme="minorHAnsi" w:cstheme="minorHAnsi"/>
        </w:rPr>
      </w:pPr>
      <w:r w:rsidRPr="00E2734A">
        <w:rPr>
          <w:rFonts w:asciiTheme="minorHAnsi" w:hAnsiTheme="minorHAnsi" w:cstheme="minorHAnsi"/>
        </w:rPr>
        <w:t>User Registration</w:t>
      </w:r>
    </w:p>
    <w:p w14:paraId="168C7BF2" w14:textId="77777777" w:rsidR="00E2734A" w:rsidRPr="00E2734A" w:rsidRDefault="00E2734A" w:rsidP="00E2734A"/>
    <w:p w14:paraId="101E46D7" w14:textId="6CC31291" w:rsidR="00ED65D3" w:rsidRDefault="00ED65D3" w:rsidP="00ED65D3">
      <w:pPr>
        <w:rPr>
          <w:rFonts w:asciiTheme="minorHAnsi" w:eastAsiaTheme="minorEastAsia" w:hAnsiTheme="minorHAnsi" w:cstheme="minorBidi"/>
        </w:rPr>
      </w:pPr>
      <w:r w:rsidRPr="00E2734A">
        <w:rPr>
          <w:rFonts w:asciiTheme="minorHAnsi" w:eastAsiaTheme="minorEastAsia" w:hAnsiTheme="minorHAnsi" w:cstheme="minorBidi"/>
        </w:rPr>
        <w:t xml:space="preserve">To access VERDEXON’s EV charging services, users must be registered through our mobile application or web platform. Registration requires valid personal information, including but not limited to your name, mobile number, and email address. Account creation can be done via email, mobile verification, or supported third-party sign-in options. Additional information may be requested to </w:t>
      </w:r>
      <w:r w:rsidR="00E2734A" w:rsidRPr="00E2734A">
        <w:rPr>
          <w:rFonts w:asciiTheme="minorHAnsi" w:eastAsiaTheme="minorEastAsia" w:hAnsiTheme="minorHAnsi" w:cstheme="minorBidi"/>
        </w:rPr>
        <w:t>provide</w:t>
      </w:r>
      <w:r w:rsidRPr="00E2734A">
        <w:rPr>
          <w:rFonts w:asciiTheme="minorHAnsi" w:eastAsiaTheme="minorEastAsia" w:hAnsiTheme="minorHAnsi" w:cstheme="minorBidi"/>
        </w:rPr>
        <w:t xml:space="preserve"> specific services or features.</w:t>
      </w:r>
    </w:p>
    <w:p w14:paraId="4FCC3AB4" w14:textId="77777777" w:rsidR="00E2734A" w:rsidRPr="00E2734A" w:rsidRDefault="00E2734A" w:rsidP="00ED65D3">
      <w:pPr>
        <w:rPr>
          <w:rFonts w:asciiTheme="minorHAnsi" w:eastAsiaTheme="minorEastAsia" w:hAnsiTheme="minorHAnsi" w:cstheme="minorBidi"/>
        </w:rPr>
      </w:pPr>
    </w:p>
    <w:p w14:paraId="749051C9" w14:textId="77777777" w:rsidR="00ED65D3" w:rsidRPr="00E2734A" w:rsidRDefault="00ED65D3" w:rsidP="00ED65D3">
      <w:pPr>
        <w:pStyle w:val="Heading2"/>
        <w:rPr>
          <w:rFonts w:asciiTheme="minorHAnsi" w:hAnsiTheme="minorHAnsi" w:cstheme="minorHAnsi"/>
        </w:rPr>
      </w:pPr>
      <w:r w:rsidRPr="00E2734A">
        <w:rPr>
          <w:rFonts w:asciiTheme="minorHAnsi" w:hAnsiTheme="minorHAnsi" w:cstheme="minorHAnsi"/>
        </w:rPr>
        <w:t>2. Accessing Our Chargers</w:t>
      </w:r>
    </w:p>
    <w:p w14:paraId="50B28203" w14:textId="77777777" w:rsidR="00E2734A" w:rsidRPr="00E2734A" w:rsidRDefault="00E2734A" w:rsidP="00E2734A"/>
    <w:p w14:paraId="5F9E8840" w14:textId="77777777" w:rsidR="00ED65D3" w:rsidRDefault="00ED65D3" w:rsidP="00ED65D3">
      <w:pPr>
        <w:rPr>
          <w:rFonts w:asciiTheme="minorHAnsi" w:hAnsiTheme="minorHAnsi" w:cstheme="minorHAnsi"/>
        </w:rPr>
      </w:pPr>
      <w:r w:rsidRPr="00E2734A">
        <w:rPr>
          <w:rFonts w:asciiTheme="minorHAnsi" w:hAnsiTheme="minorHAnsi" w:cstheme="minorHAnsi"/>
        </w:rPr>
        <w:t>Registered users can initiate and manage charging sessions via the VERDEXON app or designated dashboard. Users are responsible for ensuring they are connected to the correct charger and that the session has started as intended. Charging status can be verified using the app interface and charger LED indicators.</w:t>
      </w:r>
    </w:p>
    <w:p w14:paraId="0343463A" w14:textId="77777777" w:rsidR="00E2734A" w:rsidRPr="00E2734A" w:rsidRDefault="00E2734A" w:rsidP="00ED65D3">
      <w:pPr>
        <w:rPr>
          <w:rFonts w:asciiTheme="minorHAnsi" w:hAnsiTheme="minorHAnsi" w:cstheme="minorHAnsi"/>
        </w:rPr>
      </w:pPr>
    </w:p>
    <w:p w14:paraId="5FDDDF62" w14:textId="77777777" w:rsidR="00ED65D3" w:rsidRDefault="00ED65D3" w:rsidP="00ED65D3">
      <w:pPr>
        <w:pStyle w:val="Heading2"/>
        <w:rPr>
          <w:rFonts w:asciiTheme="minorHAnsi" w:hAnsiTheme="minorHAnsi" w:cstheme="minorHAnsi"/>
        </w:rPr>
      </w:pPr>
      <w:r w:rsidRPr="00E2734A">
        <w:rPr>
          <w:rFonts w:asciiTheme="minorHAnsi" w:hAnsiTheme="minorHAnsi" w:cstheme="minorHAnsi"/>
        </w:rPr>
        <w:t>3. Charging Session Definition</w:t>
      </w:r>
    </w:p>
    <w:p w14:paraId="0C928CC7" w14:textId="77777777" w:rsidR="00E2734A" w:rsidRPr="00E2734A" w:rsidRDefault="00E2734A" w:rsidP="00E2734A"/>
    <w:p w14:paraId="5DCF8E2A" w14:textId="77777777" w:rsidR="00ED65D3" w:rsidRDefault="00ED65D3" w:rsidP="00ED65D3">
      <w:pPr>
        <w:rPr>
          <w:rFonts w:asciiTheme="minorHAnsi" w:hAnsiTheme="minorHAnsi" w:cstheme="minorHAnsi"/>
        </w:rPr>
      </w:pPr>
      <w:r w:rsidRPr="00E2734A">
        <w:rPr>
          <w:rFonts w:asciiTheme="minorHAnsi" w:hAnsiTheme="minorHAnsi" w:cstheme="minorHAnsi"/>
        </w:rPr>
        <w:t>A charging session is considered active once the user initiates the charge through our platform and is successfully connected to the charger. It ends when the user stops the session through the app, or when the charger automatically ends the session based on system configuration or preset timeouts. Users must monitor their session to avoid unnecessary charges.</w:t>
      </w:r>
    </w:p>
    <w:p w14:paraId="6C95503B" w14:textId="77777777" w:rsidR="00E2734A" w:rsidRPr="00E2734A" w:rsidRDefault="00E2734A" w:rsidP="00ED65D3">
      <w:pPr>
        <w:rPr>
          <w:rFonts w:asciiTheme="minorHAnsi" w:hAnsiTheme="minorHAnsi" w:cstheme="minorHAnsi"/>
        </w:rPr>
      </w:pPr>
    </w:p>
    <w:p w14:paraId="7E8DB9BF" w14:textId="77777777" w:rsidR="00ED65D3" w:rsidRPr="00E2734A" w:rsidRDefault="00ED65D3" w:rsidP="00ED65D3">
      <w:pPr>
        <w:pStyle w:val="Heading2"/>
        <w:rPr>
          <w:rFonts w:asciiTheme="minorHAnsi" w:hAnsiTheme="minorHAnsi" w:cstheme="minorHAnsi"/>
        </w:rPr>
      </w:pPr>
      <w:r w:rsidRPr="00E2734A">
        <w:rPr>
          <w:rFonts w:asciiTheme="minorHAnsi" w:hAnsiTheme="minorHAnsi" w:cstheme="minorHAnsi"/>
        </w:rPr>
        <w:t>4. How to Request a Refund</w:t>
      </w:r>
    </w:p>
    <w:p w14:paraId="58B55EBA" w14:textId="77777777" w:rsidR="00E2734A" w:rsidRPr="00E2734A" w:rsidRDefault="00E2734A" w:rsidP="00E2734A"/>
    <w:p w14:paraId="1E1BC216"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To request a refund, users must submit a request via the VERDEXON app or email our support team at support@verdexon.com within 72 hours of the session. The request must include:</w:t>
      </w:r>
    </w:p>
    <w:p w14:paraId="29F17679"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Session/Transaction ID</w:t>
      </w:r>
    </w:p>
    <w:p w14:paraId="2F5AC771"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Registered phone number or email</w:t>
      </w:r>
    </w:p>
    <w:p w14:paraId="48A1F877"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Description of the issue encountered</w:t>
      </w:r>
    </w:p>
    <w:p w14:paraId="08C5D2D6" w14:textId="77777777" w:rsidR="00ED65D3" w:rsidRPr="00E2734A" w:rsidRDefault="00ED65D3" w:rsidP="00ED65D3">
      <w:pPr>
        <w:rPr>
          <w:rFonts w:asciiTheme="minorHAnsi" w:hAnsiTheme="minorHAnsi" w:cstheme="minorHAnsi"/>
        </w:rPr>
      </w:pPr>
    </w:p>
    <w:p w14:paraId="28361AE9" w14:textId="77777777" w:rsidR="00ED65D3" w:rsidRDefault="00ED65D3" w:rsidP="00ED65D3">
      <w:pPr>
        <w:rPr>
          <w:rFonts w:asciiTheme="minorHAnsi" w:hAnsiTheme="minorHAnsi" w:cstheme="minorHAnsi"/>
        </w:rPr>
      </w:pPr>
      <w:r w:rsidRPr="00E2734A">
        <w:rPr>
          <w:rFonts w:asciiTheme="minorHAnsi" w:hAnsiTheme="minorHAnsi" w:cstheme="minorHAnsi"/>
        </w:rPr>
        <w:t>Our support team will review each request, and eligible refunds will be processed within 3 to 5 business days.</w:t>
      </w:r>
    </w:p>
    <w:p w14:paraId="2FEC1BDE" w14:textId="77777777" w:rsidR="00E2734A" w:rsidRDefault="00E2734A" w:rsidP="00ED65D3">
      <w:pPr>
        <w:rPr>
          <w:rFonts w:asciiTheme="minorHAnsi" w:hAnsiTheme="minorHAnsi" w:cstheme="minorHAnsi"/>
        </w:rPr>
      </w:pPr>
    </w:p>
    <w:p w14:paraId="658B49C6" w14:textId="77777777" w:rsidR="00E2734A" w:rsidRDefault="00E2734A" w:rsidP="00ED65D3">
      <w:pPr>
        <w:rPr>
          <w:rFonts w:asciiTheme="minorHAnsi" w:hAnsiTheme="minorHAnsi" w:cstheme="minorHAnsi"/>
        </w:rPr>
      </w:pPr>
    </w:p>
    <w:p w14:paraId="53450F14" w14:textId="77777777" w:rsidR="00E2734A" w:rsidRDefault="00E2734A" w:rsidP="00ED65D3">
      <w:pPr>
        <w:rPr>
          <w:rFonts w:asciiTheme="minorHAnsi" w:hAnsiTheme="minorHAnsi" w:cstheme="minorHAnsi"/>
        </w:rPr>
      </w:pPr>
    </w:p>
    <w:p w14:paraId="58267B8C" w14:textId="77777777" w:rsidR="00E2734A" w:rsidRDefault="00E2734A" w:rsidP="00ED65D3">
      <w:pPr>
        <w:rPr>
          <w:rFonts w:asciiTheme="minorHAnsi" w:hAnsiTheme="minorHAnsi" w:cstheme="minorHAnsi"/>
        </w:rPr>
      </w:pPr>
    </w:p>
    <w:p w14:paraId="63FFCCE2" w14:textId="77777777" w:rsidR="00E2734A" w:rsidRDefault="00E2734A" w:rsidP="00ED65D3">
      <w:pPr>
        <w:rPr>
          <w:rFonts w:asciiTheme="minorHAnsi" w:hAnsiTheme="minorHAnsi" w:cstheme="minorHAnsi"/>
        </w:rPr>
      </w:pPr>
    </w:p>
    <w:p w14:paraId="7C5C0F7F" w14:textId="77777777" w:rsidR="00E2734A" w:rsidRPr="00E2734A" w:rsidRDefault="00E2734A" w:rsidP="00ED65D3">
      <w:pPr>
        <w:rPr>
          <w:rFonts w:asciiTheme="minorHAnsi" w:hAnsiTheme="minorHAnsi" w:cstheme="minorHAnsi"/>
        </w:rPr>
      </w:pPr>
    </w:p>
    <w:p w14:paraId="3EB314D7" w14:textId="77777777" w:rsidR="00ED65D3" w:rsidRDefault="00ED65D3" w:rsidP="00ED65D3">
      <w:pPr>
        <w:pStyle w:val="Heading2"/>
        <w:rPr>
          <w:rFonts w:asciiTheme="minorHAnsi" w:hAnsiTheme="minorHAnsi" w:cstheme="minorHAnsi"/>
        </w:rPr>
      </w:pPr>
      <w:r w:rsidRPr="00E2734A">
        <w:rPr>
          <w:rFonts w:asciiTheme="minorHAnsi" w:hAnsiTheme="minorHAnsi" w:cstheme="minorHAnsi"/>
        </w:rPr>
        <w:lastRenderedPageBreak/>
        <w:t>5. Refund Eligibility Criteria</w:t>
      </w:r>
    </w:p>
    <w:p w14:paraId="5D38B978" w14:textId="77777777" w:rsidR="00E2734A" w:rsidRPr="00E2734A" w:rsidRDefault="00E2734A" w:rsidP="00E2734A"/>
    <w:p w14:paraId="77335EC8"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Refunds will be considered under the following circumstances:</w:t>
      </w:r>
    </w:p>
    <w:p w14:paraId="08C82754"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No energy was delivered despite a successful session start.</w:t>
      </w:r>
    </w:p>
    <w:p w14:paraId="019980FC"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Charger failed due to internal hardware/software malfunction.</w:t>
      </w:r>
    </w:p>
    <w:p w14:paraId="78F5F140"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Device entered auto shut-off mode immediately after initiation.</w:t>
      </w:r>
    </w:p>
    <w:p w14:paraId="0E351CD0"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Booking confirmed, but user unable to reach the charger due to app/system failure.</w:t>
      </w:r>
    </w:p>
    <w:p w14:paraId="269F209F"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Payment succeeded but booking page failed to load.</w:t>
      </w:r>
    </w:p>
    <w:p w14:paraId="41B32B0F"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Inaccessibility caused by a defective charger under VERDEXON’s hardware warranty.</w:t>
      </w:r>
    </w:p>
    <w:p w14:paraId="1187BA3D" w14:textId="77777777" w:rsidR="00ED65D3" w:rsidRDefault="00ED65D3" w:rsidP="00ED65D3">
      <w:pPr>
        <w:rPr>
          <w:rFonts w:asciiTheme="minorHAnsi" w:hAnsiTheme="minorHAnsi" w:cstheme="minorHAnsi"/>
        </w:rPr>
      </w:pPr>
      <w:r w:rsidRPr="00E2734A">
        <w:rPr>
          <w:rFonts w:asciiTheme="minorHAnsi" w:hAnsiTheme="minorHAnsi" w:cstheme="minorHAnsi"/>
        </w:rPr>
        <w:t>- Charging session terminated prematurely due to a fault (partial refunds may apply).</w:t>
      </w:r>
    </w:p>
    <w:p w14:paraId="6EBD6CA4" w14:textId="77777777" w:rsidR="00E2734A" w:rsidRPr="00E2734A" w:rsidRDefault="00E2734A" w:rsidP="00ED65D3">
      <w:pPr>
        <w:rPr>
          <w:rFonts w:asciiTheme="minorHAnsi" w:hAnsiTheme="minorHAnsi" w:cstheme="minorHAnsi"/>
        </w:rPr>
      </w:pPr>
    </w:p>
    <w:p w14:paraId="1F007D32" w14:textId="77777777" w:rsidR="00ED65D3" w:rsidRPr="00E2734A" w:rsidRDefault="00ED65D3" w:rsidP="00ED65D3">
      <w:pPr>
        <w:pStyle w:val="Heading2"/>
        <w:rPr>
          <w:rFonts w:asciiTheme="minorHAnsi" w:hAnsiTheme="minorHAnsi" w:cstheme="minorHAnsi"/>
        </w:rPr>
      </w:pPr>
      <w:r w:rsidRPr="00E2734A">
        <w:rPr>
          <w:rFonts w:asciiTheme="minorHAnsi" w:hAnsiTheme="minorHAnsi" w:cstheme="minorHAnsi"/>
        </w:rPr>
        <w:t>6. Non-Eligible Refund Scenarios</w:t>
      </w:r>
    </w:p>
    <w:p w14:paraId="6AD6E04D" w14:textId="77777777" w:rsidR="00E2734A" w:rsidRPr="00E2734A" w:rsidRDefault="00E2734A" w:rsidP="00E2734A">
      <w:pPr>
        <w:rPr>
          <w:rFonts w:asciiTheme="minorHAnsi" w:hAnsiTheme="minorHAnsi" w:cstheme="minorHAnsi"/>
        </w:rPr>
      </w:pPr>
    </w:p>
    <w:p w14:paraId="70CFA221"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Refunds will not be provided in the following scenarios:</w:t>
      </w:r>
    </w:p>
    <w:p w14:paraId="688BCA51"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User-side issues like MCB not turned ON or app misuse.</w:t>
      </w:r>
    </w:p>
    <w:p w14:paraId="55DD68DB"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Full or partial energy was consumed with no technical fault.</w:t>
      </w:r>
    </w:p>
    <w:p w14:paraId="2A0C74D3"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Requests made after the 72-hour window.</w:t>
      </w:r>
    </w:p>
    <w:p w14:paraId="3AEA7F45" w14:textId="77777777" w:rsidR="00ED65D3" w:rsidRPr="00E2734A" w:rsidRDefault="00ED65D3" w:rsidP="00ED65D3">
      <w:pPr>
        <w:rPr>
          <w:rFonts w:asciiTheme="minorHAnsi" w:hAnsiTheme="minorHAnsi" w:cstheme="minorHAnsi"/>
        </w:rPr>
      </w:pPr>
      <w:r w:rsidRPr="00E2734A">
        <w:rPr>
          <w:rFonts w:asciiTheme="minorHAnsi" w:hAnsiTheme="minorHAnsi" w:cstheme="minorHAnsi"/>
        </w:rPr>
        <w:t>- Fake bookings, incorrect session IDs, or non-warranty hardware issues.</w:t>
      </w:r>
    </w:p>
    <w:p w14:paraId="512151E2" w14:textId="77777777" w:rsidR="00ED65D3" w:rsidRDefault="00ED65D3" w:rsidP="00ED65D3">
      <w:pPr>
        <w:rPr>
          <w:rFonts w:asciiTheme="minorHAnsi" w:hAnsiTheme="minorHAnsi" w:cstheme="minorHAnsi"/>
        </w:rPr>
      </w:pPr>
      <w:r w:rsidRPr="00E2734A">
        <w:rPr>
          <w:rFonts w:asciiTheme="minorHAnsi" w:hAnsiTheme="minorHAnsi" w:cstheme="minorHAnsi"/>
        </w:rPr>
        <w:t>- Failed payments (automatically reversed by the gateway within 7 days).</w:t>
      </w:r>
    </w:p>
    <w:p w14:paraId="0809CB53" w14:textId="77777777" w:rsidR="00E2734A" w:rsidRPr="00E2734A" w:rsidRDefault="00E2734A" w:rsidP="00ED65D3">
      <w:pPr>
        <w:rPr>
          <w:rFonts w:asciiTheme="minorHAnsi" w:hAnsiTheme="minorHAnsi" w:cstheme="minorHAnsi"/>
        </w:rPr>
      </w:pPr>
    </w:p>
    <w:p w14:paraId="064F2073" w14:textId="77777777" w:rsidR="00ED65D3" w:rsidRPr="00E2734A" w:rsidRDefault="00ED65D3" w:rsidP="00ED65D3">
      <w:pPr>
        <w:pStyle w:val="Heading2"/>
        <w:rPr>
          <w:rFonts w:asciiTheme="minorHAnsi" w:hAnsiTheme="minorHAnsi" w:cstheme="minorHAnsi"/>
        </w:rPr>
      </w:pPr>
      <w:r w:rsidRPr="00E2734A">
        <w:rPr>
          <w:rFonts w:asciiTheme="minorHAnsi" w:hAnsiTheme="minorHAnsi" w:cstheme="minorHAnsi"/>
        </w:rPr>
        <w:t>7. Disclaimer</w:t>
      </w:r>
    </w:p>
    <w:p w14:paraId="3018F45E" w14:textId="77777777" w:rsidR="00E2734A" w:rsidRPr="00E2734A" w:rsidRDefault="00E2734A" w:rsidP="00E2734A"/>
    <w:p w14:paraId="02505D3C" w14:textId="249C8AFC" w:rsidR="004863E5" w:rsidRPr="00E2734A" w:rsidRDefault="00ED65D3" w:rsidP="00ED65D3">
      <w:pPr>
        <w:spacing w:line="360" w:lineRule="auto"/>
        <w:rPr>
          <w:rFonts w:asciiTheme="minorHAnsi" w:hAnsiTheme="minorHAnsi" w:cstheme="minorHAnsi"/>
          <w:lang w:val="en-IN"/>
        </w:rPr>
      </w:pPr>
      <w:r w:rsidRPr="00E2734A">
        <w:rPr>
          <w:rFonts w:asciiTheme="minorHAnsi" w:hAnsiTheme="minorHAnsi" w:cstheme="minorHAnsi"/>
        </w:rPr>
        <w:t>Refund processing timelines may be affected by third-party banking systems or payment gateways. While VERDEXON will make every effort to process valid refunds promptly, we cannot assume liability for delays outside our direct c</w:t>
      </w:r>
    </w:p>
    <w:sectPr w:rsidR="004863E5" w:rsidRPr="00E2734A">
      <w:headerReference w:type="default" r:id="rId8"/>
      <w:footerReference w:type="default" r:id="rId9"/>
      <w:pgSz w:w="11910" w:h="16840"/>
      <w:pgMar w:top="2280" w:right="1700" w:bottom="2240" w:left="1559" w:header="1491" w:footer="20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6C2C4A" w14:textId="77777777" w:rsidR="00AA7948" w:rsidRDefault="00AA7948">
      <w:r>
        <w:separator/>
      </w:r>
    </w:p>
  </w:endnote>
  <w:endnote w:type="continuationSeparator" w:id="0">
    <w:p w14:paraId="5851D3EC" w14:textId="77777777" w:rsidR="00AA7948" w:rsidRDefault="00AA7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689AA" w14:textId="77777777" w:rsidR="00DA4577" w:rsidRDefault="00510762">
    <w:pPr>
      <w:pStyle w:val="BodyText"/>
      <w:spacing w:line="14" w:lineRule="auto"/>
      <w:rPr>
        <w:sz w:val="20"/>
      </w:rPr>
    </w:pPr>
    <w:r>
      <w:rPr>
        <w:noProof/>
        <w:sz w:val="20"/>
      </w:rPr>
      <w:drawing>
        <wp:anchor distT="0" distB="0" distL="0" distR="0" simplePos="0" relativeHeight="487472640" behindDoc="1" locked="0" layoutInCell="1" allowOverlap="1" wp14:anchorId="3966DFBA" wp14:editId="3AA1B691">
          <wp:simplePos x="0" y="0"/>
          <wp:positionH relativeFrom="page">
            <wp:posOffset>3537865</wp:posOffset>
          </wp:positionH>
          <wp:positionV relativeFrom="page">
            <wp:posOffset>9759696</wp:posOffset>
          </wp:positionV>
          <wp:extent cx="525073" cy="30784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25073" cy="307847"/>
                  </a:xfrm>
                  <a:prstGeom prst="rect">
                    <a:avLst/>
                  </a:prstGeom>
                </pic:spPr>
              </pic:pic>
            </a:graphicData>
          </a:graphic>
        </wp:anchor>
      </w:drawing>
    </w:r>
    <w:r>
      <w:rPr>
        <w:noProof/>
        <w:sz w:val="20"/>
      </w:rPr>
      <mc:AlternateContent>
        <mc:Choice Requires="wps">
          <w:drawing>
            <wp:anchor distT="0" distB="0" distL="0" distR="0" simplePos="0" relativeHeight="487473152" behindDoc="1" locked="0" layoutInCell="1" allowOverlap="1" wp14:anchorId="68E5A3E7" wp14:editId="4CCDBCD8">
              <wp:simplePos x="0" y="0"/>
              <wp:positionH relativeFrom="page">
                <wp:posOffset>510539</wp:posOffset>
              </wp:positionH>
              <wp:positionV relativeFrom="page">
                <wp:posOffset>9209532</wp:posOffset>
              </wp:positionV>
              <wp:extent cx="6535420"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5420" cy="17145"/>
                      </a:xfrm>
                      <a:custGeom>
                        <a:avLst/>
                        <a:gdLst/>
                        <a:ahLst/>
                        <a:cxnLst/>
                        <a:rect l="l" t="t" r="r" b="b"/>
                        <a:pathLst>
                          <a:path w="6535420" h="17145">
                            <a:moveTo>
                              <a:pt x="6534911" y="16764"/>
                            </a:moveTo>
                            <a:lnTo>
                              <a:pt x="0" y="16764"/>
                            </a:lnTo>
                            <a:lnTo>
                              <a:pt x="0" y="0"/>
                            </a:lnTo>
                            <a:lnTo>
                              <a:pt x="6534911" y="0"/>
                            </a:lnTo>
                            <a:lnTo>
                              <a:pt x="6534911" y="16764"/>
                            </a:lnTo>
                            <a:close/>
                          </a:path>
                        </a:pathLst>
                      </a:custGeom>
                      <a:solidFill>
                        <a:srgbClr val="59A52B"/>
                      </a:solidFill>
                    </wps:spPr>
                    <wps:bodyPr wrap="square" lIns="0" tIns="0" rIns="0" bIns="0" rtlCol="0">
                      <a:prstTxWarp prst="textNoShape">
                        <a:avLst/>
                      </a:prstTxWarp>
                      <a:noAutofit/>
                    </wps:bodyPr>
                  </wps:wsp>
                </a:graphicData>
              </a:graphic>
            </wp:anchor>
          </w:drawing>
        </mc:Choice>
        <mc:Fallback>
          <w:pict>
            <v:shape w14:anchorId="12D66105" id="Graphic 3" o:spid="_x0000_s1026" style="position:absolute;margin-left:40.2pt;margin-top:725.15pt;width:514.6pt;height:1.35pt;z-index:-15843328;visibility:visible;mso-wrap-style:square;mso-wrap-distance-left:0;mso-wrap-distance-top:0;mso-wrap-distance-right:0;mso-wrap-distance-bottom:0;mso-position-horizontal:absolute;mso-position-horizontal-relative:page;mso-position-vertical:absolute;mso-position-vertical-relative:page;v-text-anchor:top" coordsize="653542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" path="m6534911,16764l,16764,,,6534911,r,16764xe" fillcolor="#59a52b" stroked="f">
              <v:path arrowok="t"/>
              <w10:wrap anchorx="page" anchory="page"/>
            </v:shape>
          </w:pict>
        </mc:Fallback>
      </mc:AlternateContent>
    </w:r>
    <w:r>
      <w:rPr>
        <w:noProof/>
        <w:sz w:val="20"/>
      </w:rPr>
      <mc:AlternateContent>
        <mc:Choice Requires="wps">
          <w:drawing>
            <wp:anchor distT="0" distB="0" distL="0" distR="0" simplePos="0" relativeHeight="487473664" behindDoc="1" locked="0" layoutInCell="1" allowOverlap="1" wp14:anchorId="0BD281D7" wp14:editId="25CBC0A4">
              <wp:simplePos x="0" y="0"/>
              <wp:positionH relativeFrom="page">
                <wp:posOffset>482599</wp:posOffset>
              </wp:positionH>
              <wp:positionV relativeFrom="page">
                <wp:posOffset>9375392</wp:posOffset>
              </wp:positionV>
              <wp:extent cx="1823085" cy="1384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3085" cy="138430"/>
                      </a:xfrm>
                      <a:prstGeom prst="rect">
                        <a:avLst/>
                      </a:prstGeom>
                    </wps:spPr>
                    <wps:txbx>
                      <w:txbxContent>
                        <w:p w14:paraId="32405EDD" w14:textId="77777777" w:rsidR="00DA4577" w:rsidRDefault="00510762">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wps:txbx>
                    <wps:bodyPr wrap="square" lIns="0" tIns="0" rIns="0" bIns="0" rtlCol="0">
                      <a:noAutofit/>
                    </wps:bodyPr>
                  </wps:wsp>
                </a:graphicData>
              </a:graphic>
            </wp:anchor>
          </w:drawing>
        </mc:Choice>
        <mc:Fallback>
          <w:pict>
            <v:shapetype w14:anchorId="0BD281D7" id="_x0000_t202" coordsize="21600,21600" o:spt="202" path="m,l,21600r21600,l21600,xe">
              <v:stroke joinstyle="miter"/>
              <v:path gradientshapeok="t" o:connecttype="rect"/>
            </v:shapetype>
            <v:shape id="Textbox 4" o:spid="_x0000_s1026" type="#_x0000_t202" style="position:absolute;margin-left:38pt;margin-top:738.2pt;width:143.55pt;height:10.9pt;z-index:-15842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" filled="f" stroked="f">
              <v:textbox inset="0,0,0,0">
                <w:txbxContent>
                  <w:p w14:paraId="32405EDD" w14:textId="77777777" w:rsidR="00DA4577" w:rsidRDefault="00510762">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v:textbox>
              <w10:wrap anchorx="page" anchory="page"/>
            </v:shape>
          </w:pict>
        </mc:Fallback>
      </mc:AlternateContent>
    </w:r>
    <w:r>
      <w:rPr>
        <w:noProof/>
        <w:sz w:val="20"/>
      </w:rPr>
      <mc:AlternateContent>
        <mc:Choice Requires="wps">
          <w:drawing>
            <wp:anchor distT="0" distB="0" distL="0" distR="0" simplePos="0" relativeHeight="487474176" behindDoc="1" locked="0" layoutInCell="1" allowOverlap="1" wp14:anchorId="14AA1B83" wp14:editId="5CEE3273">
              <wp:simplePos x="0" y="0"/>
              <wp:positionH relativeFrom="page">
                <wp:posOffset>3410536</wp:posOffset>
              </wp:positionH>
              <wp:positionV relativeFrom="page">
                <wp:posOffset>9376879</wp:posOffset>
              </wp:positionV>
              <wp:extent cx="1097280" cy="13843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138430"/>
                      </a:xfrm>
                      <a:prstGeom prst="rect">
                        <a:avLst/>
                      </a:prstGeom>
                    </wps:spPr>
                    <wps:txbx>
                      <w:txbxContent>
                        <w:p w14:paraId="699002C7" w14:textId="77777777" w:rsidR="00DA4577" w:rsidRDefault="00510762">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wps:txbx>
                    <wps:bodyPr wrap="square" lIns="0" tIns="0" rIns="0" bIns="0" rtlCol="0">
                      <a:noAutofit/>
                    </wps:bodyPr>
                  </wps:wsp>
                </a:graphicData>
              </a:graphic>
            </wp:anchor>
          </w:drawing>
        </mc:Choice>
        <mc:Fallback>
          <w:pict>
            <v:shape w14:anchorId="14AA1B83" id="Textbox 5" o:spid="_x0000_s1027" type="#_x0000_t202" style="position:absolute;margin-left:268.55pt;margin-top:738.35pt;width:86.4pt;height:10.9pt;z-index:-1584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" filled="f" stroked="f">
              <v:textbox inset="0,0,0,0">
                <w:txbxContent>
                  <w:p w14:paraId="699002C7" w14:textId="77777777" w:rsidR="00DA4577" w:rsidRDefault="00510762">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v:textbox>
              <w10:wrap anchorx="page" anchory="page"/>
            </v:shape>
          </w:pict>
        </mc:Fallback>
      </mc:AlternateContent>
    </w:r>
    <w:r>
      <w:rPr>
        <w:noProof/>
        <w:sz w:val="20"/>
      </w:rPr>
      <mc:AlternateContent>
        <mc:Choice Requires="wps">
          <w:drawing>
            <wp:anchor distT="0" distB="0" distL="0" distR="0" simplePos="0" relativeHeight="487474688" behindDoc="1" locked="0" layoutInCell="1" allowOverlap="1" wp14:anchorId="39125905" wp14:editId="0FEDD63B">
              <wp:simplePos x="0" y="0"/>
              <wp:positionH relativeFrom="page">
                <wp:posOffset>5559072</wp:posOffset>
              </wp:positionH>
              <wp:positionV relativeFrom="page">
                <wp:posOffset>9372329</wp:posOffset>
              </wp:positionV>
              <wp:extent cx="1312545" cy="1384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2545" cy="138430"/>
                      </a:xfrm>
                      <a:prstGeom prst="rect">
                        <a:avLst/>
                      </a:prstGeom>
                    </wps:spPr>
                    <wps:txbx>
                      <w:txbxContent>
                        <w:p w14:paraId="03DC130A" w14:textId="77777777" w:rsidR="00DA4577" w:rsidRDefault="00510762">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2">
                            <w:r w:rsidR="00DA4577">
                              <w:rPr>
                                <w:color w:val="0000FF"/>
                                <w:spacing w:val="-2"/>
                                <w:w w:val="105"/>
                                <w:sz w:val="15"/>
                                <w:u w:val="single" w:color="0000FF"/>
                              </w:rPr>
                              <w:t>info@verdexon.com</w:t>
                            </w:r>
                          </w:hyperlink>
                        </w:p>
                      </w:txbxContent>
                    </wps:txbx>
                    <wps:bodyPr wrap="square" lIns="0" tIns="0" rIns="0" bIns="0" rtlCol="0">
                      <a:noAutofit/>
                    </wps:bodyPr>
                  </wps:wsp>
                </a:graphicData>
              </a:graphic>
            </wp:anchor>
          </w:drawing>
        </mc:Choice>
        <mc:Fallback>
          <w:pict>
            <v:shape w14:anchorId="39125905" id="Textbox 6" o:spid="_x0000_s1028" type="#_x0000_t202" style="position:absolute;margin-left:437.7pt;margin-top:738pt;width:103.35pt;height:10.9pt;z-index:-1584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" filled="f" stroked="f">
              <v:textbox inset="0,0,0,0">
                <w:txbxContent>
                  <w:p w14:paraId="03DC130A" w14:textId="77777777" w:rsidR="00DA4577" w:rsidRDefault="00510762">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3">
                      <w:r w:rsidR="00DA4577">
                        <w:rPr>
                          <w:color w:val="0000FF"/>
                          <w:spacing w:val="-2"/>
                          <w:w w:val="105"/>
                          <w:sz w:val="15"/>
                          <w:u w:val="single" w:color="0000FF"/>
                        </w:rPr>
                        <w:t>info@verdexon.com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9CEAD" w14:textId="77777777" w:rsidR="00AA7948" w:rsidRDefault="00AA7948">
      <w:r>
        <w:separator/>
      </w:r>
    </w:p>
  </w:footnote>
  <w:footnote w:type="continuationSeparator" w:id="0">
    <w:p w14:paraId="7F54F143" w14:textId="77777777" w:rsidR="00AA7948" w:rsidRDefault="00AA7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AB05C" w14:textId="7365FFC0" w:rsidR="00DA4577" w:rsidRDefault="00510762">
    <w:pPr>
      <w:pStyle w:val="BodyText"/>
      <w:spacing w:line="14" w:lineRule="auto"/>
      <w:rPr>
        <w:sz w:val="20"/>
      </w:rPr>
    </w:pPr>
    <w:r>
      <w:rPr>
        <w:noProof/>
        <w:sz w:val="20"/>
      </w:rPr>
      <w:drawing>
        <wp:anchor distT="0" distB="0" distL="0" distR="0" simplePos="0" relativeHeight="487472128" behindDoc="1" locked="0" layoutInCell="1" allowOverlap="1" wp14:anchorId="2A9FAD9A" wp14:editId="7AE9A14D">
          <wp:simplePos x="0" y="0"/>
          <wp:positionH relativeFrom="page">
            <wp:posOffset>2536190</wp:posOffset>
          </wp:positionH>
          <wp:positionV relativeFrom="page">
            <wp:posOffset>618490</wp:posOffset>
          </wp:positionV>
          <wp:extent cx="2301692" cy="50210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301692" cy="5021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9411"/>
    <w:multiLevelType w:val="multilevel"/>
    <w:tmpl w:val="9AECF32C"/>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 w15:restartNumberingAfterBreak="0">
    <w:nsid w:val="00A99412"/>
    <w:multiLevelType w:val="multilevel"/>
    <w:tmpl w:val="F88A4D4E"/>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2" w15:restartNumberingAfterBreak="0">
    <w:nsid w:val="00A99811"/>
    <w:multiLevelType w:val="multilevel"/>
    <w:tmpl w:val="A78294CE"/>
    <w:lvl w:ilvl="0">
      <w:start w:val="1"/>
      <w:numFmt w:val="upperLetter"/>
      <w:lvlText w:val="%1."/>
      <w:lvlJc w:val="left"/>
      <w:pPr>
        <w:ind w:left="720" w:hanging="480"/>
      </w:pPr>
    </w:lvl>
    <w:lvl w:ilvl="1">
      <w:start w:val="1"/>
      <w:numFmt w:val="upperLetter"/>
      <w:lvlText w:val="%2."/>
      <w:lvlJc w:val="left"/>
      <w:pPr>
        <w:ind w:left="1440" w:hanging="480"/>
      </w:pPr>
    </w:lvl>
    <w:lvl w:ilvl="2">
      <w:start w:val="1"/>
      <w:numFmt w:val="upperLetter"/>
      <w:lvlText w:val="%3."/>
      <w:lvlJc w:val="left"/>
      <w:pPr>
        <w:ind w:left="2160" w:hanging="480"/>
      </w:pPr>
    </w:lvl>
    <w:lvl w:ilvl="3">
      <w:start w:val="1"/>
      <w:numFmt w:val="upperLetter"/>
      <w:lvlText w:val="%4."/>
      <w:lvlJc w:val="left"/>
      <w:pPr>
        <w:ind w:left="2880" w:hanging="480"/>
      </w:pPr>
    </w:lvl>
    <w:lvl w:ilvl="4">
      <w:start w:val="1"/>
      <w:numFmt w:val="upperLetter"/>
      <w:lvlText w:val="%5."/>
      <w:lvlJc w:val="left"/>
      <w:pPr>
        <w:ind w:left="3600" w:hanging="480"/>
      </w:pPr>
    </w:lvl>
    <w:lvl w:ilvl="5">
      <w:start w:val="1"/>
      <w:numFmt w:val="upperLetter"/>
      <w:lvlText w:val="%6."/>
      <w:lvlJc w:val="left"/>
      <w:pPr>
        <w:ind w:left="4320" w:hanging="480"/>
      </w:pPr>
    </w:lvl>
    <w:lvl w:ilvl="6">
      <w:start w:val="1"/>
      <w:numFmt w:val="upperLetter"/>
      <w:lvlText w:val="%7."/>
      <w:lvlJc w:val="left"/>
      <w:pPr>
        <w:ind w:left="5040" w:hanging="480"/>
      </w:pPr>
    </w:lvl>
    <w:lvl w:ilvl="7">
      <w:start w:val="1"/>
      <w:numFmt w:val="upperLetter"/>
      <w:lvlText w:val="%8."/>
      <w:lvlJc w:val="left"/>
      <w:pPr>
        <w:ind w:left="5760" w:hanging="480"/>
      </w:pPr>
    </w:lvl>
    <w:lvl w:ilvl="8">
      <w:start w:val="1"/>
      <w:numFmt w:val="upperLetter"/>
      <w:lvlText w:val="%9."/>
      <w:lvlJc w:val="left"/>
      <w:pPr>
        <w:ind w:left="6480" w:hanging="480"/>
      </w:pPr>
    </w:lvl>
  </w:abstractNum>
  <w:abstractNum w:abstractNumId="3" w15:restartNumberingAfterBreak="0">
    <w:nsid w:val="00B9734C"/>
    <w:multiLevelType w:val="hybridMultilevel"/>
    <w:tmpl w:val="DF988C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111096E"/>
    <w:multiLevelType w:val="multilevel"/>
    <w:tmpl w:val="F312C02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A8673D4"/>
    <w:multiLevelType w:val="hybridMultilevel"/>
    <w:tmpl w:val="D9CAA7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BEC176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4B923F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1314C7"/>
    <w:multiLevelType w:val="multilevel"/>
    <w:tmpl w:val="81B8E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273735"/>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DF71B51"/>
    <w:multiLevelType w:val="hybridMultilevel"/>
    <w:tmpl w:val="407639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E8139C3"/>
    <w:multiLevelType w:val="multilevel"/>
    <w:tmpl w:val="368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0060D7"/>
    <w:multiLevelType w:val="hybridMultilevel"/>
    <w:tmpl w:val="CD8AA2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06D7610"/>
    <w:multiLevelType w:val="hybridMultilevel"/>
    <w:tmpl w:val="17706A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1F25C1F"/>
    <w:multiLevelType w:val="multilevel"/>
    <w:tmpl w:val="AE4E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A62A4A"/>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0FD7B82"/>
    <w:multiLevelType w:val="hybridMultilevel"/>
    <w:tmpl w:val="DED647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25C09B0"/>
    <w:multiLevelType w:val="hybridMultilevel"/>
    <w:tmpl w:val="C97898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3765A3B"/>
    <w:multiLevelType w:val="hybridMultilevel"/>
    <w:tmpl w:val="382EC8B0"/>
    <w:lvl w:ilvl="0" w:tplc="9B9AE530">
      <w:start w:val="1"/>
      <w:numFmt w:val="decimal"/>
      <w:lvlText w:val="%1."/>
      <w:lvlJc w:val="left"/>
      <w:pPr>
        <w:ind w:left="545" w:hanging="351"/>
      </w:pPr>
      <w:rPr>
        <w:rFonts w:ascii="Georgia" w:eastAsia="Georgia" w:hAnsi="Georgia" w:cs="Georgia" w:hint="default"/>
        <w:b w:val="0"/>
        <w:bCs w:val="0"/>
        <w:i w:val="0"/>
        <w:iCs w:val="0"/>
        <w:spacing w:val="0"/>
        <w:w w:val="102"/>
        <w:sz w:val="21"/>
        <w:szCs w:val="21"/>
        <w:lang w:val="en-US" w:eastAsia="en-US" w:bidi="ar-SA"/>
      </w:rPr>
    </w:lvl>
    <w:lvl w:ilvl="1" w:tplc="EF3A2C46">
      <w:numFmt w:val="bullet"/>
      <w:lvlText w:val="•"/>
      <w:lvlJc w:val="left"/>
      <w:pPr>
        <w:ind w:left="1350" w:hanging="351"/>
      </w:pPr>
      <w:rPr>
        <w:rFonts w:hint="default"/>
        <w:lang w:val="en-US" w:eastAsia="en-US" w:bidi="ar-SA"/>
      </w:rPr>
    </w:lvl>
    <w:lvl w:ilvl="2" w:tplc="F4BEE476">
      <w:numFmt w:val="bullet"/>
      <w:lvlText w:val="•"/>
      <w:lvlJc w:val="left"/>
      <w:pPr>
        <w:ind w:left="2161" w:hanging="351"/>
      </w:pPr>
      <w:rPr>
        <w:rFonts w:hint="default"/>
        <w:lang w:val="en-US" w:eastAsia="en-US" w:bidi="ar-SA"/>
      </w:rPr>
    </w:lvl>
    <w:lvl w:ilvl="3" w:tplc="18EEDCBE">
      <w:numFmt w:val="bullet"/>
      <w:lvlText w:val="•"/>
      <w:lvlJc w:val="left"/>
      <w:pPr>
        <w:ind w:left="2972" w:hanging="351"/>
      </w:pPr>
      <w:rPr>
        <w:rFonts w:hint="default"/>
        <w:lang w:val="en-US" w:eastAsia="en-US" w:bidi="ar-SA"/>
      </w:rPr>
    </w:lvl>
    <w:lvl w:ilvl="4" w:tplc="1BEC85B0">
      <w:numFmt w:val="bullet"/>
      <w:lvlText w:val="•"/>
      <w:lvlJc w:val="left"/>
      <w:pPr>
        <w:ind w:left="3782" w:hanging="351"/>
      </w:pPr>
      <w:rPr>
        <w:rFonts w:hint="default"/>
        <w:lang w:val="en-US" w:eastAsia="en-US" w:bidi="ar-SA"/>
      </w:rPr>
    </w:lvl>
    <w:lvl w:ilvl="5" w:tplc="42C2866E">
      <w:numFmt w:val="bullet"/>
      <w:lvlText w:val="•"/>
      <w:lvlJc w:val="left"/>
      <w:pPr>
        <w:ind w:left="4593" w:hanging="351"/>
      </w:pPr>
      <w:rPr>
        <w:rFonts w:hint="default"/>
        <w:lang w:val="en-US" w:eastAsia="en-US" w:bidi="ar-SA"/>
      </w:rPr>
    </w:lvl>
    <w:lvl w:ilvl="6" w:tplc="88720E6E">
      <w:numFmt w:val="bullet"/>
      <w:lvlText w:val="•"/>
      <w:lvlJc w:val="left"/>
      <w:pPr>
        <w:ind w:left="5404" w:hanging="351"/>
      </w:pPr>
      <w:rPr>
        <w:rFonts w:hint="default"/>
        <w:lang w:val="en-US" w:eastAsia="en-US" w:bidi="ar-SA"/>
      </w:rPr>
    </w:lvl>
    <w:lvl w:ilvl="7" w:tplc="DCFE9114">
      <w:numFmt w:val="bullet"/>
      <w:lvlText w:val="•"/>
      <w:lvlJc w:val="left"/>
      <w:pPr>
        <w:ind w:left="6215" w:hanging="351"/>
      </w:pPr>
      <w:rPr>
        <w:rFonts w:hint="default"/>
        <w:lang w:val="en-US" w:eastAsia="en-US" w:bidi="ar-SA"/>
      </w:rPr>
    </w:lvl>
    <w:lvl w:ilvl="8" w:tplc="15769532">
      <w:numFmt w:val="bullet"/>
      <w:lvlText w:val="•"/>
      <w:lvlJc w:val="left"/>
      <w:pPr>
        <w:ind w:left="7025" w:hanging="351"/>
      </w:pPr>
      <w:rPr>
        <w:rFonts w:hint="default"/>
        <w:lang w:val="en-US" w:eastAsia="en-US" w:bidi="ar-SA"/>
      </w:rPr>
    </w:lvl>
  </w:abstractNum>
  <w:abstractNum w:abstractNumId="19" w15:restartNumberingAfterBreak="0">
    <w:nsid w:val="48325E1F"/>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AFC6EB4"/>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E764A17"/>
    <w:multiLevelType w:val="multilevel"/>
    <w:tmpl w:val="19F2B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CF7E01"/>
    <w:multiLevelType w:val="hybridMultilevel"/>
    <w:tmpl w:val="D51640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79E7FA9"/>
    <w:multiLevelType w:val="multilevel"/>
    <w:tmpl w:val="71E86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816789"/>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FC66D6B"/>
    <w:multiLevelType w:val="multilevel"/>
    <w:tmpl w:val="E5E89A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64111DAB"/>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5D02B49"/>
    <w:multiLevelType w:val="multilevel"/>
    <w:tmpl w:val="91CC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51860"/>
    <w:multiLevelType w:val="hybridMultilevel"/>
    <w:tmpl w:val="D8DE768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6B5A39EC"/>
    <w:multiLevelType w:val="multilevel"/>
    <w:tmpl w:val="825C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59114E"/>
    <w:multiLevelType w:val="multilevel"/>
    <w:tmpl w:val="2A92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F17F7C"/>
    <w:multiLevelType w:val="multilevel"/>
    <w:tmpl w:val="3D80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B01E8C"/>
    <w:multiLevelType w:val="hybridMultilevel"/>
    <w:tmpl w:val="3E2695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06525754">
    <w:abstractNumId w:val="18"/>
  </w:num>
  <w:num w:numId="2" w16cid:durableId="1814788013">
    <w:abstractNumId w:val="28"/>
  </w:num>
  <w:num w:numId="3" w16cid:durableId="17690792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9380831">
    <w:abstractNumId w:val="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5" w16cid:durableId="5723934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99921759">
    <w:abstractNumId w:val="17"/>
  </w:num>
  <w:num w:numId="7" w16cid:durableId="179589048">
    <w:abstractNumId w:val="32"/>
  </w:num>
  <w:num w:numId="8" w16cid:durableId="364603009">
    <w:abstractNumId w:val="12"/>
  </w:num>
  <w:num w:numId="9" w16cid:durableId="922640296">
    <w:abstractNumId w:val="3"/>
  </w:num>
  <w:num w:numId="10" w16cid:durableId="1206483784">
    <w:abstractNumId w:val="16"/>
  </w:num>
  <w:num w:numId="11" w16cid:durableId="1469594244">
    <w:abstractNumId w:val="5"/>
  </w:num>
  <w:num w:numId="12" w16cid:durableId="99300759">
    <w:abstractNumId w:val="10"/>
  </w:num>
  <w:num w:numId="13" w16cid:durableId="470446981">
    <w:abstractNumId w:val="13"/>
  </w:num>
  <w:num w:numId="14" w16cid:durableId="501703073">
    <w:abstractNumId w:val="25"/>
  </w:num>
  <w:num w:numId="15" w16cid:durableId="2116317345">
    <w:abstractNumId w:val="7"/>
  </w:num>
  <w:num w:numId="16" w16cid:durableId="1001661217">
    <w:abstractNumId w:val="26"/>
  </w:num>
  <w:num w:numId="17" w16cid:durableId="826672209">
    <w:abstractNumId w:val="19"/>
  </w:num>
  <w:num w:numId="18" w16cid:durableId="2106268037">
    <w:abstractNumId w:val="4"/>
  </w:num>
  <w:num w:numId="19" w16cid:durableId="1731998079">
    <w:abstractNumId w:val="9"/>
  </w:num>
  <w:num w:numId="20" w16cid:durableId="878854800">
    <w:abstractNumId w:val="20"/>
  </w:num>
  <w:num w:numId="21" w16cid:durableId="2050371572">
    <w:abstractNumId w:val="24"/>
  </w:num>
  <w:num w:numId="22" w16cid:durableId="1243905869">
    <w:abstractNumId w:val="6"/>
  </w:num>
  <w:num w:numId="23" w16cid:durableId="273680782">
    <w:abstractNumId w:val="15"/>
  </w:num>
  <w:num w:numId="24" w16cid:durableId="368384257">
    <w:abstractNumId w:val="11"/>
  </w:num>
  <w:num w:numId="25" w16cid:durableId="356391639">
    <w:abstractNumId w:val="29"/>
  </w:num>
  <w:num w:numId="26" w16cid:durableId="1293634717">
    <w:abstractNumId w:val="31"/>
  </w:num>
  <w:num w:numId="27" w16cid:durableId="605041724">
    <w:abstractNumId w:val="27"/>
  </w:num>
  <w:num w:numId="28" w16cid:durableId="1140683018">
    <w:abstractNumId w:val="14"/>
  </w:num>
  <w:num w:numId="29" w16cid:durableId="1835215895">
    <w:abstractNumId w:val="23"/>
  </w:num>
  <w:num w:numId="30" w16cid:durableId="1625042191">
    <w:abstractNumId w:val="8"/>
  </w:num>
  <w:num w:numId="31" w16cid:durableId="1193494658">
    <w:abstractNumId w:val="21"/>
  </w:num>
  <w:num w:numId="32" w16cid:durableId="1006202094">
    <w:abstractNumId w:val="30"/>
  </w:num>
  <w:num w:numId="33" w16cid:durableId="179497676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A4577"/>
    <w:rsid w:val="000328FD"/>
    <w:rsid w:val="000749A2"/>
    <w:rsid w:val="000E060F"/>
    <w:rsid w:val="001255BE"/>
    <w:rsid w:val="001C0D35"/>
    <w:rsid w:val="001D1416"/>
    <w:rsid w:val="002272F6"/>
    <w:rsid w:val="00240531"/>
    <w:rsid w:val="0025016E"/>
    <w:rsid w:val="00264D18"/>
    <w:rsid w:val="002C6970"/>
    <w:rsid w:val="002D408C"/>
    <w:rsid w:val="0034084F"/>
    <w:rsid w:val="00346282"/>
    <w:rsid w:val="00366270"/>
    <w:rsid w:val="00367D29"/>
    <w:rsid w:val="00380051"/>
    <w:rsid w:val="003B4EB8"/>
    <w:rsid w:val="003C1507"/>
    <w:rsid w:val="003C5286"/>
    <w:rsid w:val="004638D6"/>
    <w:rsid w:val="004863E5"/>
    <w:rsid w:val="004C5804"/>
    <w:rsid w:val="00510762"/>
    <w:rsid w:val="00520139"/>
    <w:rsid w:val="005214C4"/>
    <w:rsid w:val="00535825"/>
    <w:rsid w:val="005E201E"/>
    <w:rsid w:val="005F1BB9"/>
    <w:rsid w:val="005F6762"/>
    <w:rsid w:val="00622FD8"/>
    <w:rsid w:val="00636062"/>
    <w:rsid w:val="0069466D"/>
    <w:rsid w:val="006D31E7"/>
    <w:rsid w:val="007A447D"/>
    <w:rsid w:val="007D3560"/>
    <w:rsid w:val="007E06C5"/>
    <w:rsid w:val="00800A2A"/>
    <w:rsid w:val="0081131D"/>
    <w:rsid w:val="008214E4"/>
    <w:rsid w:val="00847D1E"/>
    <w:rsid w:val="0085208F"/>
    <w:rsid w:val="008C54D0"/>
    <w:rsid w:val="009647BC"/>
    <w:rsid w:val="0097624F"/>
    <w:rsid w:val="009C3F76"/>
    <w:rsid w:val="009F413F"/>
    <w:rsid w:val="00A43EBD"/>
    <w:rsid w:val="00A861D8"/>
    <w:rsid w:val="00AA7948"/>
    <w:rsid w:val="00AC2849"/>
    <w:rsid w:val="00B060AF"/>
    <w:rsid w:val="00B06AFF"/>
    <w:rsid w:val="00B4184F"/>
    <w:rsid w:val="00B57BEA"/>
    <w:rsid w:val="00BD46B4"/>
    <w:rsid w:val="00C25137"/>
    <w:rsid w:val="00C305F1"/>
    <w:rsid w:val="00C32675"/>
    <w:rsid w:val="00C34FD6"/>
    <w:rsid w:val="00C35816"/>
    <w:rsid w:val="00C632BF"/>
    <w:rsid w:val="00C96BA5"/>
    <w:rsid w:val="00CA019E"/>
    <w:rsid w:val="00CC3C76"/>
    <w:rsid w:val="00CD0E2F"/>
    <w:rsid w:val="00D0543F"/>
    <w:rsid w:val="00D219F6"/>
    <w:rsid w:val="00D72344"/>
    <w:rsid w:val="00D74DC8"/>
    <w:rsid w:val="00DA4577"/>
    <w:rsid w:val="00DE5C3F"/>
    <w:rsid w:val="00E2734A"/>
    <w:rsid w:val="00E546F1"/>
    <w:rsid w:val="00E94C40"/>
    <w:rsid w:val="00ED65D3"/>
    <w:rsid w:val="00EF10D4"/>
    <w:rsid w:val="00F0118A"/>
    <w:rsid w:val="00F03050"/>
    <w:rsid w:val="00F20B79"/>
    <w:rsid w:val="00F221BA"/>
    <w:rsid w:val="00F27E00"/>
    <w:rsid w:val="00F50190"/>
    <w:rsid w:val="00F63FF9"/>
    <w:rsid w:val="00F67C77"/>
    <w:rsid w:val="00F8415A"/>
    <w:rsid w:val="00F85DCA"/>
    <w:rsid w:val="00F95EC1"/>
    <w:rsid w:val="00FC1EB2"/>
    <w:rsid w:val="00FC69D3"/>
    <w:rsid w:val="00FE47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85139B9"/>
  <w15:docId w15:val="{15F55FFD-DC76-460B-BE2A-E7112DA7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rPr>
  </w:style>
  <w:style w:type="paragraph" w:styleId="Heading1">
    <w:name w:val="heading 1"/>
    <w:basedOn w:val="Normal"/>
    <w:next w:val="Normal"/>
    <w:link w:val="Heading1Char"/>
    <w:uiPriority w:val="9"/>
    <w:qFormat/>
    <w:rsid w:val="00CC3C7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47D1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67C7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545" w:hanging="351"/>
    </w:pPr>
  </w:style>
  <w:style w:type="paragraph" w:customStyle="1" w:styleId="TableParagraph">
    <w:name w:val="Table Paragraph"/>
    <w:basedOn w:val="Normal"/>
    <w:uiPriority w:val="1"/>
    <w:qFormat/>
  </w:style>
  <w:style w:type="paragraph" w:customStyle="1" w:styleId="FirstParagraph">
    <w:name w:val="First Paragraph"/>
    <w:basedOn w:val="BodyText"/>
    <w:next w:val="BodyText"/>
    <w:qFormat/>
    <w:rsid w:val="0081131D"/>
    <w:pPr>
      <w:widowControl/>
      <w:autoSpaceDE/>
      <w:autoSpaceDN/>
      <w:spacing w:before="180" w:after="180"/>
    </w:pPr>
    <w:rPr>
      <w:rFonts w:asciiTheme="minorHAnsi" w:eastAsiaTheme="minorHAnsi" w:hAnsiTheme="minorHAnsi" w:cstheme="minorBidi"/>
      <w:sz w:val="24"/>
      <w:szCs w:val="24"/>
    </w:rPr>
  </w:style>
  <w:style w:type="paragraph" w:customStyle="1" w:styleId="Compact">
    <w:name w:val="Compact"/>
    <w:basedOn w:val="BodyText"/>
    <w:qFormat/>
    <w:rsid w:val="0081131D"/>
    <w:pPr>
      <w:widowControl/>
      <w:autoSpaceDE/>
      <w:autoSpaceDN/>
      <w:spacing w:before="36" w:after="36"/>
    </w:pPr>
    <w:rPr>
      <w:rFonts w:asciiTheme="minorHAnsi" w:eastAsiaTheme="minorHAnsi" w:hAnsiTheme="minorHAnsi" w:cstheme="minorBidi"/>
      <w:sz w:val="24"/>
      <w:szCs w:val="24"/>
    </w:rPr>
  </w:style>
  <w:style w:type="table" w:customStyle="1" w:styleId="Table">
    <w:name w:val="Table"/>
    <w:semiHidden/>
    <w:unhideWhenUsed/>
    <w:qFormat/>
    <w:rsid w:val="0081131D"/>
    <w:pPr>
      <w:widowControl/>
      <w:autoSpaceDE/>
      <w:autoSpaceDN/>
      <w:spacing w:after="200"/>
    </w:pPr>
    <w:rPr>
      <w:sz w:val="24"/>
      <w:szCs w:val="24"/>
      <w:lang w:val="en-IN" w:eastAsia="en-I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81131D"/>
    <w:rPr>
      <w:rFonts w:ascii="Consolas" w:hAnsi="Consolas"/>
    </w:rPr>
  </w:style>
  <w:style w:type="paragraph" w:customStyle="1" w:styleId="SourceCode">
    <w:name w:val="Source Code"/>
    <w:basedOn w:val="Normal"/>
    <w:link w:val="VerbatimChar"/>
    <w:rsid w:val="0081131D"/>
    <w:pPr>
      <w:widowControl/>
      <w:wordWrap w:val="0"/>
      <w:autoSpaceDE/>
      <w:autoSpaceDN/>
      <w:spacing w:after="200"/>
    </w:pPr>
    <w:rPr>
      <w:rFonts w:ascii="Consolas" w:eastAsiaTheme="minorHAnsi" w:hAnsi="Consolas" w:cstheme="minorBidi"/>
    </w:rPr>
  </w:style>
  <w:style w:type="paragraph" w:styleId="Title">
    <w:name w:val="Title"/>
    <w:basedOn w:val="Normal"/>
    <w:next w:val="Normal"/>
    <w:link w:val="TitleChar"/>
    <w:uiPriority w:val="10"/>
    <w:qFormat/>
    <w:rsid w:val="00CC3C7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C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3C7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CC3C7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CC3C76"/>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39"/>
    <w:rsid w:val="00F27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27E0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4C5804"/>
    <w:pPr>
      <w:tabs>
        <w:tab w:val="center" w:pos="4513"/>
        <w:tab w:val="right" w:pos="9026"/>
      </w:tabs>
    </w:pPr>
  </w:style>
  <w:style w:type="character" w:customStyle="1" w:styleId="HeaderChar">
    <w:name w:val="Header Char"/>
    <w:basedOn w:val="DefaultParagraphFont"/>
    <w:link w:val="Header"/>
    <w:uiPriority w:val="99"/>
    <w:rsid w:val="004C5804"/>
    <w:rPr>
      <w:rFonts w:ascii="Georgia" w:eastAsia="Georgia" w:hAnsi="Georgia" w:cs="Georgia"/>
    </w:rPr>
  </w:style>
  <w:style w:type="paragraph" w:styleId="Footer">
    <w:name w:val="footer"/>
    <w:basedOn w:val="Normal"/>
    <w:link w:val="FooterChar"/>
    <w:uiPriority w:val="99"/>
    <w:unhideWhenUsed/>
    <w:rsid w:val="004C5804"/>
    <w:pPr>
      <w:tabs>
        <w:tab w:val="center" w:pos="4513"/>
        <w:tab w:val="right" w:pos="9026"/>
      </w:tabs>
    </w:pPr>
  </w:style>
  <w:style w:type="character" w:customStyle="1" w:styleId="FooterChar">
    <w:name w:val="Footer Char"/>
    <w:basedOn w:val="DefaultParagraphFont"/>
    <w:link w:val="Footer"/>
    <w:uiPriority w:val="99"/>
    <w:rsid w:val="004C5804"/>
    <w:rPr>
      <w:rFonts w:ascii="Georgia" w:eastAsia="Georgia" w:hAnsi="Georgia" w:cs="Georgia"/>
    </w:rPr>
  </w:style>
  <w:style w:type="character" w:customStyle="1" w:styleId="Heading2Char">
    <w:name w:val="Heading 2 Char"/>
    <w:basedOn w:val="DefaultParagraphFont"/>
    <w:link w:val="Heading2"/>
    <w:uiPriority w:val="9"/>
    <w:rsid w:val="00847D1E"/>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F67C7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info@verdexon.com" TargetMode="External"/><Relationship Id="rId2" Type="http://schemas.openxmlformats.org/officeDocument/2006/relationships/hyperlink" Target="mailto:info@verdexon.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DB1F5-CD36-4672-A71D-C8773A84F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443</Words>
  <Characters>2482</Characters>
  <Application>Microsoft Office Word</Application>
  <DocSecurity>0</DocSecurity>
  <Lines>50</Lines>
  <Paragraphs>37</Paragraphs>
  <ScaleCrop>false</ScaleCrop>
  <HeadingPairs>
    <vt:vector size="2" baseType="variant">
      <vt:variant>
        <vt:lpstr>Title</vt:lpstr>
      </vt:variant>
      <vt:variant>
        <vt:i4>1</vt:i4>
      </vt:variant>
    </vt:vector>
  </HeadingPairs>
  <TitlesOfParts>
    <vt:vector size="1" baseType="lpstr">
      <vt:lpstr>Microsoft Word - VERR0QT-001-Hotel Hyde.docx</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VERR0QT-001-Hotel Hyde.docx</dc:title>
  <cp:lastModifiedBy>nareshkumar Saroj</cp:lastModifiedBy>
  <cp:revision>71</cp:revision>
  <cp:lastPrinted>2025-09-04T12:27:00Z</cp:lastPrinted>
  <dcterms:created xsi:type="dcterms:W3CDTF">2025-09-04T12:00:00Z</dcterms:created>
  <dcterms:modified xsi:type="dcterms:W3CDTF">2025-10-02T10:03:00Z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2025-09-04T00:00:00Z</vt:filetime>
  </property>
  <property fmtid="{D5CDD505-2E9C-101B-9397-08002B2CF9AE}" pid="3" name="LastSaved">
    <vt:filetime>2025-09-04T00:00:00Z</vt:filetime>
  </property>
  <property fmtid="{D5CDD505-2E9C-101B-9397-08002B2CF9AE}" pid="4" name="Producer">
    <vt:lpwstr>Microsoft: Print To PDF</vt:lpwstr>
  </property>
</Properties>
</file>